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B1D1F" w14:textId="77777777" w:rsidR="009E2F32" w:rsidRDefault="009E2F32">
      <w:pPr>
        <w:rPr>
          <w:rFonts w:cstheme="minorHAnsi"/>
          <w:b/>
          <w:sz w:val="28"/>
          <w:szCs w:val="24"/>
        </w:rPr>
      </w:pPr>
    </w:p>
    <w:p w14:paraId="5976375F" w14:textId="5789D364" w:rsidR="009E2F32" w:rsidRDefault="00DB2879" w:rsidP="00DB2879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noProof/>
          <w:sz w:val="28"/>
          <w:szCs w:val="24"/>
        </w:rPr>
        <w:drawing>
          <wp:inline distT="0" distB="0" distL="0" distR="0" wp14:anchorId="5D7F9358" wp14:editId="35D7B908">
            <wp:extent cx="1533525" cy="15332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0EEBD" w14:textId="12F86C6A" w:rsidR="00105FC4" w:rsidRDefault="00B431A2">
      <w:pPr>
        <w:rPr>
          <w:rFonts w:cstheme="minorHAnsi"/>
          <w:sz w:val="24"/>
          <w:szCs w:val="24"/>
        </w:rPr>
      </w:pPr>
      <w:r w:rsidRPr="00B00AF7">
        <w:rPr>
          <w:rFonts w:cstheme="minorHAnsi"/>
          <w:b/>
          <w:sz w:val="28"/>
          <w:szCs w:val="24"/>
        </w:rPr>
        <w:t>Request for Proposals</w:t>
      </w:r>
      <w:r w:rsidRPr="00B431A2">
        <w:rPr>
          <w:rFonts w:cstheme="minorHAnsi"/>
          <w:sz w:val="24"/>
          <w:szCs w:val="24"/>
        </w:rPr>
        <w:br/>
      </w:r>
      <w:r w:rsidRPr="00B431A2">
        <w:rPr>
          <w:rFonts w:cstheme="minorHAnsi"/>
          <w:sz w:val="24"/>
          <w:szCs w:val="24"/>
        </w:rPr>
        <w:br/>
        <w:t xml:space="preserve">HRDC is seeking </w:t>
      </w:r>
      <w:r w:rsidR="00093481">
        <w:rPr>
          <w:rFonts w:cstheme="minorHAnsi"/>
          <w:sz w:val="24"/>
          <w:szCs w:val="24"/>
        </w:rPr>
        <w:t>an electric forklift</w:t>
      </w:r>
      <w:r w:rsidR="00AF5E6D">
        <w:rPr>
          <w:rFonts w:cstheme="minorHAnsi"/>
          <w:sz w:val="24"/>
          <w:szCs w:val="24"/>
        </w:rPr>
        <w:t>.</w:t>
      </w:r>
      <w:r w:rsidRPr="00B431A2">
        <w:rPr>
          <w:rFonts w:cstheme="minorHAnsi"/>
          <w:sz w:val="24"/>
          <w:szCs w:val="24"/>
        </w:rPr>
        <w:br/>
      </w:r>
      <w:r w:rsidR="00105FC4">
        <w:rPr>
          <w:rFonts w:cstheme="minorHAnsi"/>
          <w:sz w:val="24"/>
          <w:szCs w:val="24"/>
        </w:rPr>
        <w:t xml:space="preserve">Proposals will be received until 5 pm on </w:t>
      </w:r>
      <w:r w:rsidR="00AF5E6D">
        <w:rPr>
          <w:rFonts w:cstheme="minorHAnsi"/>
          <w:sz w:val="24"/>
          <w:szCs w:val="24"/>
        </w:rPr>
        <w:t>Feb. 24th</w:t>
      </w:r>
      <w:r w:rsidR="00105FC4">
        <w:rPr>
          <w:rFonts w:cstheme="minorHAnsi"/>
          <w:sz w:val="24"/>
          <w:szCs w:val="24"/>
        </w:rPr>
        <w:t>.  Please address or email (preferred) to:</w:t>
      </w:r>
      <w:r w:rsidR="00105FC4">
        <w:rPr>
          <w:rFonts w:cstheme="minorHAnsi"/>
          <w:sz w:val="24"/>
          <w:szCs w:val="24"/>
        </w:rPr>
        <w:br/>
      </w:r>
      <w:r w:rsidR="00105FC4">
        <w:rPr>
          <w:rFonts w:cstheme="minorHAnsi"/>
          <w:sz w:val="24"/>
          <w:szCs w:val="24"/>
        </w:rPr>
        <w:br/>
        <w:t>HRDC</w:t>
      </w:r>
      <w:r w:rsidR="00AF5E6D">
        <w:rPr>
          <w:rFonts w:cstheme="minorHAnsi"/>
          <w:sz w:val="24"/>
          <w:szCs w:val="24"/>
        </w:rPr>
        <w:t xml:space="preserve"> – Gallatin Valley Food Bank</w:t>
      </w:r>
      <w:r w:rsidR="00105FC4">
        <w:rPr>
          <w:rFonts w:cstheme="minorHAnsi"/>
          <w:sz w:val="24"/>
          <w:szCs w:val="24"/>
        </w:rPr>
        <w:br/>
      </w:r>
      <w:r w:rsidR="00AF5E6D">
        <w:rPr>
          <w:rFonts w:cstheme="minorHAnsi"/>
          <w:sz w:val="24"/>
          <w:szCs w:val="24"/>
        </w:rPr>
        <w:t>602 Bond Street</w:t>
      </w:r>
      <w:r w:rsidR="00105FC4">
        <w:rPr>
          <w:rFonts w:cstheme="minorHAnsi"/>
          <w:sz w:val="24"/>
          <w:szCs w:val="24"/>
        </w:rPr>
        <w:br/>
        <w:t>Bozeman, MT 59715</w:t>
      </w:r>
      <w:r w:rsidR="00105FC4">
        <w:rPr>
          <w:rFonts w:cstheme="minorHAnsi"/>
          <w:sz w:val="24"/>
          <w:szCs w:val="24"/>
        </w:rPr>
        <w:br/>
        <w:t xml:space="preserve">Attn: </w:t>
      </w:r>
      <w:r w:rsidR="00093481">
        <w:rPr>
          <w:rFonts w:cstheme="minorHAnsi"/>
          <w:sz w:val="24"/>
          <w:szCs w:val="24"/>
        </w:rPr>
        <w:t>Jon Horn, Operations Manager Gallatin Valley Food Bank</w:t>
      </w:r>
      <w:r w:rsidR="00105FC4">
        <w:rPr>
          <w:rFonts w:cstheme="minorHAnsi"/>
          <w:sz w:val="24"/>
          <w:szCs w:val="24"/>
        </w:rPr>
        <w:br/>
      </w:r>
      <w:hyperlink r:id="rId6" w:history="1">
        <w:r w:rsidR="00093481" w:rsidRPr="005F33DC">
          <w:rPr>
            <w:rStyle w:val="Hyperlink"/>
            <w:rFonts w:cstheme="minorHAnsi"/>
            <w:sz w:val="24"/>
            <w:szCs w:val="24"/>
          </w:rPr>
          <w:t>jhorn@thehrdc.org</w:t>
        </w:r>
      </w:hyperlink>
      <w:r w:rsidR="00105FC4">
        <w:rPr>
          <w:rFonts w:cstheme="minorHAnsi"/>
          <w:sz w:val="24"/>
          <w:szCs w:val="24"/>
        </w:rPr>
        <w:br/>
        <w:t>406-</w:t>
      </w:r>
      <w:r w:rsidR="00093481">
        <w:rPr>
          <w:rFonts w:cstheme="minorHAnsi"/>
          <w:sz w:val="24"/>
          <w:szCs w:val="24"/>
        </w:rPr>
        <w:t>586-7600</w:t>
      </w:r>
    </w:p>
    <w:p w14:paraId="269EFC02" w14:textId="330970A3" w:rsidR="00075F83" w:rsidRDefault="00075F8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questions about the specifications or bid process may be addressed to Jon Horn.</w:t>
      </w:r>
    </w:p>
    <w:p w14:paraId="1DD3C933" w14:textId="23EFB57F" w:rsidR="008A4ABB" w:rsidRPr="008A4ABB" w:rsidRDefault="008C5E38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4"/>
        </w:rPr>
        <w:t>About</w:t>
      </w:r>
      <w:r w:rsidR="00105FC4" w:rsidRPr="008A4ABB">
        <w:rPr>
          <w:rFonts w:cstheme="minorHAnsi"/>
          <w:b/>
          <w:sz w:val="28"/>
          <w:szCs w:val="24"/>
        </w:rPr>
        <w:t xml:space="preserve"> HRDC</w:t>
      </w:r>
      <w:r w:rsidR="00B431A2" w:rsidRPr="00B431A2">
        <w:rPr>
          <w:rFonts w:cstheme="minorHAnsi"/>
          <w:sz w:val="24"/>
          <w:szCs w:val="24"/>
        </w:rPr>
        <w:br/>
        <w:t>HRDC is a 501(c)3 non-profit Community Action Agency</w:t>
      </w:r>
      <w:r w:rsidR="008A4ABB">
        <w:rPr>
          <w:rFonts w:cstheme="minorHAnsi"/>
          <w:sz w:val="24"/>
          <w:szCs w:val="24"/>
        </w:rPr>
        <w:t xml:space="preserve"> incorporated in 1975.</w:t>
      </w:r>
      <w:r>
        <w:rPr>
          <w:rFonts w:cstheme="minorHAnsi"/>
          <w:sz w:val="24"/>
          <w:szCs w:val="24"/>
        </w:rPr>
        <w:t xml:space="preserve"> </w:t>
      </w:r>
      <w:r w:rsidR="008A4ABB">
        <w:rPr>
          <w:rFonts w:cstheme="minorHAnsi"/>
          <w:sz w:val="24"/>
          <w:szCs w:val="24"/>
        </w:rPr>
        <w:t xml:space="preserve">HRDC is </w:t>
      </w:r>
      <w:r w:rsidR="00B431A2" w:rsidRPr="00B431A2">
        <w:rPr>
          <w:rFonts w:cstheme="minorHAnsi"/>
          <w:sz w:val="24"/>
          <w:szCs w:val="24"/>
        </w:rPr>
        <w:t>dedicated to building a better community through innovation and leadership. We provide programs and services in the areas of Housing, Food &amp; Nutrition, Child &amp; Youth Development, Senior Empowerment, Community Transportation, Home Heating–Energy–Safety, and Community Development.</w:t>
      </w:r>
      <w:r w:rsidR="00B431A2">
        <w:rPr>
          <w:rFonts w:cstheme="minorHAnsi"/>
          <w:sz w:val="24"/>
          <w:szCs w:val="24"/>
        </w:rPr>
        <w:t xml:space="preserve">  HRDC’s main office is located in Bozeman, Montana and provides services to three counties – Gallatin, Park and Meagher counties.</w:t>
      </w:r>
      <w:r w:rsidR="008A4ABB">
        <w:rPr>
          <w:rFonts w:cstheme="minorHAnsi"/>
          <w:sz w:val="24"/>
          <w:szCs w:val="24"/>
        </w:rPr>
        <w:t xml:space="preserve">  HRDC has a 15 member volunteer board of directors and approximately </w:t>
      </w:r>
      <w:r w:rsidR="00093481">
        <w:rPr>
          <w:rFonts w:cstheme="minorHAnsi"/>
          <w:sz w:val="24"/>
          <w:szCs w:val="24"/>
        </w:rPr>
        <w:t>200</w:t>
      </w:r>
      <w:r w:rsidR="008A4ABB">
        <w:rPr>
          <w:rFonts w:cstheme="minorHAnsi"/>
          <w:sz w:val="24"/>
          <w:szCs w:val="24"/>
        </w:rPr>
        <w:t xml:space="preserve"> employees.  </w:t>
      </w:r>
    </w:p>
    <w:p w14:paraId="5EA79313" w14:textId="7F49CD5A" w:rsidR="00F76B78" w:rsidRPr="00093481" w:rsidRDefault="00F76B78" w:rsidP="00F76B78">
      <w:pPr>
        <w:rPr>
          <w:rFonts w:cstheme="minorHAnsi"/>
          <w:sz w:val="24"/>
          <w:szCs w:val="24"/>
        </w:rPr>
      </w:pPr>
      <w:r w:rsidRPr="008A4ABB">
        <w:rPr>
          <w:rFonts w:cstheme="minorHAnsi"/>
          <w:b/>
          <w:sz w:val="28"/>
          <w:szCs w:val="24"/>
        </w:rPr>
        <w:t>Description of the project</w:t>
      </w:r>
      <w:r w:rsidR="00956620" w:rsidRPr="008A4ABB">
        <w:rPr>
          <w:rFonts w:cstheme="minorHAnsi"/>
          <w:b/>
          <w:sz w:val="28"/>
          <w:szCs w:val="24"/>
        </w:rPr>
        <w:t xml:space="preserve">: </w:t>
      </w:r>
      <w:r>
        <w:rPr>
          <w:rFonts w:cstheme="minorHAnsi"/>
          <w:b/>
          <w:color w:val="006666"/>
          <w:sz w:val="24"/>
          <w:szCs w:val="24"/>
        </w:rPr>
        <w:br/>
      </w:r>
      <w:r w:rsidR="00105FC4" w:rsidRPr="00E37D76">
        <w:rPr>
          <w:rFonts w:cstheme="minorHAnsi"/>
          <w:sz w:val="24"/>
          <w:szCs w:val="24"/>
        </w:rPr>
        <w:t xml:space="preserve">HRDC is addressing the need for additional space and services within three of our seven service areas.  This </w:t>
      </w:r>
      <w:r w:rsidR="00093481">
        <w:rPr>
          <w:rFonts w:cstheme="minorHAnsi"/>
          <w:sz w:val="24"/>
          <w:szCs w:val="24"/>
        </w:rPr>
        <w:t>Fork lift</w:t>
      </w:r>
      <w:r w:rsidR="00105FC4" w:rsidRPr="00E37D76">
        <w:rPr>
          <w:rFonts w:cstheme="minorHAnsi"/>
          <w:sz w:val="24"/>
          <w:szCs w:val="24"/>
        </w:rPr>
        <w:t xml:space="preserve"> will address the need for additional and more functional space fo</w:t>
      </w:r>
      <w:r w:rsidR="008C5E38">
        <w:rPr>
          <w:rFonts w:cstheme="minorHAnsi"/>
          <w:sz w:val="24"/>
          <w:szCs w:val="24"/>
        </w:rPr>
        <w:t>r our</w:t>
      </w:r>
      <w:r w:rsidR="00956620">
        <w:rPr>
          <w:rFonts w:cstheme="minorHAnsi"/>
          <w:sz w:val="24"/>
          <w:szCs w:val="24"/>
        </w:rPr>
        <w:t xml:space="preserve"> Gallatin Valley Food Bank</w:t>
      </w:r>
      <w:r w:rsidR="008C5E38">
        <w:rPr>
          <w:rFonts w:cstheme="minorHAnsi"/>
          <w:sz w:val="24"/>
          <w:szCs w:val="24"/>
        </w:rPr>
        <w:t>, a</w:t>
      </w:r>
      <w:r w:rsidR="00105FC4" w:rsidRPr="00E37D76">
        <w:rPr>
          <w:rFonts w:cstheme="minorHAnsi"/>
          <w:sz w:val="24"/>
          <w:szCs w:val="24"/>
        </w:rPr>
        <w:t xml:space="preserve"> key component in our Food and Nutrition Department</w:t>
      </w:r>
      <w:r w:rsidR="00093481">
        <w:rPr>
          <w:rFonts w:cstheme="minorHAnsi"/>
          <w:sz w:val="24"/>
          <w:szCs w:val="24"/>
        </w:rPr>
        <w:t xml:space="preserve">.  </w:t>
      </w:r>
      <w:r w:rsidR="00E37D76" w:rsidRPr="00E37D76">
        <w:rPr>
          <w:sz w:val="24"/>
          <w:szCs w:val="24"/>
        </w:rPr>
        <w:t xml:space="preserve">Due to increasing demand on existing services, our Gallatin Valley Food Bank will no longer sustain the growth the valley is experiencing. </w:t>
      </w:r>
      <w:r w:rsidR="00093481">
        <w:rPr>
          <w:sz w:val="24"/>
          <w:szCs w:val="24"/>
        </w:rPr>
        <w:t xml:space="preserve">  Our new space called Market Place will require a forklift that raises 200 inches.</w:t>
      </w:r>
    </w:p>
    <w:p w14:paraId="2288AD0D" w14:textId="77777777" w:rsidR="00881892" w:rsidRPr="008A4ABB" w:rsidRDefault="00B00AF7" w:rsidP="00F76B78">
      <w:pPr>
        <w:rPr>
          <w:rFonts w:cstheme="minorHAnsi"/>
          <w:b/>
          <w:sz w:val="28"/>
          <w:szCs w:val="24"/>
        </w:rPr>
      </w:pPr>
      <w:r w:rsidRPr="008A4ABB">
        <w:rPr>
          <w:rFonts w:cstheme="minorHAnsi"/>
          <w:b/>
          <w:sz w:val="28"/>
          <w:szCs w:val="24"/>
        </w:rPr>
        <w:t>HRDC needs/schedule:</w:t>
      </w:r>
    </w:p>
    <w:p w14:paraId="70639B5E" w14:textId="4E7ED839" w:rsidR="00881892" w:rsidRDefault="00881892" w:rsidP="00881892">
      <w:pPr>
        <w:rPr>
          <w:sz w:val="24"/>
          <w:szCs w:val="24"/>
        </w:rPr>
      </w:pPr>
      <w:r w:rsidRPr="00881892">
        <w:rPr>
          <w:sz w:val="24"/>
          <w:szCs w:val="24"/>
        </w:rPr>
        <w:t xml:space="preserve">The purpose of this Request for Proposal is to </w:t>
      </w:r>
      <w:r w:rsidR="00093481">
        <w:rPr>
          <w:sz w:val="24"/>
          <w:szCs w:val="24"/>
        </w:rPr>
        <w:t>obtain a forklift meeting the following requirements:</w:t>
      </w:r>
      <w:r w:rsidRPr="00881892">
        <w:rPr>
          <w:sz w:val="24"/>
          <w:szCs w:val="24"/>
        </w:rPr>
        <w:t xml:space="preserve"> </w:t>
      </w:r>
    </w:p>
    <w:p w14:paraId="7339E71C" w14:textId="47A305F3" w:rsidR="002716CD" w:rsidRDefault="002716CD" w:rsidP="002716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Sit Down Rider Electric Forklift, 36V or 48V </w:t>
      </w:r>
      <w:proofErr w:type="gramStart"/>
      <w:r>
        <w:rPr>
          <w:sz w:val="24"/>
          <w:szCs w:val="24"/>
        </w:rPr>
        <w:t>battery</w:t>
      </w:r>
      <w:proofErr w:type="gramEnd"/>
    </w:p>
    <w:p w14:paraId="338E157E" w14:textId="6699359A" w:rsidR="002716CD" w:rsidRDefault="002716CD" w:rsidP="002716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Load capacity: 3,500 </w:t>
      </w:r>
      <w:proofErr w:type="spellStart"/>
      <w:r>
        <w:rPr>
          <w:sz w:val="24"/>
          <w:szCs w:val="24"/>
        </w:rPr>
        <w:t>lbs</w:t>
      </w:r>
      <w:proofErr w:type="spellEnd"/>
    </w:p>
    <w:p w14:paraId="1EAA39CE" w14:textId="19F0E429" w:rsidR="002716CD" w:rsidRDefault="002716CD" w:rsidP="002716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Maximum lift height: 200” +</w:t>
      </w:r>
    </w:p>
    <w:p w14:paraId="13EE909A" w14:textId="7E21C4C0" w:rsidR="002716CD" w:rsidRDefault="002716CD" w:rsidP="002716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Turning radius: able to turn with a load in a 12 ft. </w:t>
      </w:r>
      <w:proofErr w:type="gramStart"/>
      <w:r>
        <w:rPr>
          <w:sz w:val="24"/>
          <w:szCs w:val="24"/>
        </w:rPr>
        <w:t>aisle</w:t>
      </w:r>
      <w:proofErr w:type="gramEnd"/>
    </w:p>
    <w:p w14:paraId="70860749" w14:textId="08799E3C" w:rsidR="002716CD" w:rsidRDefault="002716CD" w:rsidP="002716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Side shift</w:t>
      </w:r>
      <w:r w:rsidR="00B61F72">
        <w:rPr>
          <w:sz w:val="24"/>
          <w:szCs w:val="24"/>
        </w:rPr>
        <w:t>-</w:t>
      </w:r>
      <w:r>
        <w:rPr>
          <w:sz w:val="24"/>
          <w:szCs w:val="24"/>
        </w:rPr>
        <w:t>equipped</w:t>
      </w:r>
    </w:p>
    <w:p w14:paraId="58B317D4" w14:textId="040A2541" w:rsidR="00B61F72" w:rsidRDefault="00B61F72" w:rsidP="002716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Freezer package if available</w:t>
      </w:r>
    </w:p>
    <w:p w14:paraId="75A4449F" w14:textId="107EA58C" w:rsidR="002716CD" w:rsidRDefault="00ED3FDA" w:rsidP="002716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Lowered </w:t>
      </w:r>
      <w:r w:rsidR="002716CD">
        <w:rPr>
          <w:sz w:val="24"/>
          <w:szCs w:val="24"/>
        </w:rPr>
        <w:t>Mast height</w:t>
      </w:r>
      <w:r>
        <w:rPr>
          <w:sz w:val="24"/>
          <w:szCs w:val="24"/>
        </w:rPr>
        <w:t xml:space="preserve"> and over all forklift </w:t>
      </w:r>
      <w:proofErr w:type="gramStart"/>
      <w:r>
        <w:rPr>
          <w:sz w:val="24"/>
          <w:szCs w:val="24"/>
        </w:rPr>
        <w:t>height</w:t>
      </w:r>
      <w:r w:rsidR="002716CD">
        <w:rPr>
          <w:sz w:val="24"/>
          <w:szCs w:val="24"/>
        </w:rPr>
        <w:t>:</w:t>
      </w:r>
      <w:proofErr w:type="gramEnd"/>
      <w:r w:rsidR="002716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needs to clear </w:t>
      </w:r>
      <w:r w:rsidR="002716CD">
        <w:rPr>
          <w:sz w:val="24"/>
          <w:szCs w:val="24"/>
        </w:rPr>
        <w:t>less than 96”</w:t>
      </w:r>
    </w:p>
    <w:p w14:paraId="04E7BF8B" w14:textId="67A89D2A" w:rsidR="002716CD" w:rsidRDefault="002716CD" w:rsidP="002716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Inside/Outside capable tires</w:t>
      </w:r>
    </w:p>
    <w:p w14:paraId="4AA248C5" w14:textId="54280BE6" w:rsidR="002716CD" w:rsidRDefault="002716CD" w:rsidP="002716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Power for the charging station will be 208Y/120V 3-</w:t>
      </w:r>
      <w:proofErr w:type="gramStart"/>
      <w:r>
        <w:rPr>
          <w:sz w:val="24"/>
          <w:szCs w:val="24"/>
        </w:rPr>
        <w:t>phase</w:t>
      </w:r>
      <w:proofErr w:type="gramEnd"/>
    </w:p>
    <w:p w14:paraId="1F5D617B" w14:textId="082FE81D" w:rsidR="002716CD" w:rsidRDefault="002716CD" w:rsidP="002716C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battery and charger are sold separately from the forklift, please provide quotes for those as well</w:t>
      </w:r>
    </w:p>
    <w:p w14:paraId="5A24BAF8" w14:textId="2D920669" w:rsidR="002716CD" w:rsidRPr="002716CD" w:rsidRDefault="002716CD" w:rsidP="002716CD">
      <w:pPr>
        <w:ind w:left="360"/>
        <w:rPr>
          <w:sz w:val="24"/>
          <w:szCs w:val="24"/>
        </w:rPr>
      </w:pPr>
    </w:p>
    <w:p w14:paraId="56A31B94" w14:textId="4B1B50BF" w:rsidR="00B4487E" w:rsidRDefault="00B00AF7" w:rsidP="00F76B78">
      <w:pPr>
        <w:rPr>
          <w:rFonts w:cstheme="minorHAnsi"/>
          <w:sz w:val="24"/>
          <w:szCs w:val="24"/>
        </w:rPr>
      </w:pPr>
      <w:r w:rsidRPr="008A4ABB">
        <w:rPr>
          <w:rFonts w:cstheme="minorHAnsi"/>
          <w:b/>
          <w:sz w:val="28"/>
          <w:szCs w:val="24"/>
        </w:rPr>
        <w:t>Schedule</w:t>
      </w:r>
      <w:r w:rsidR="00956620" w:rsidRPr="008A4ABB">
        <w:rPr>
          <w:rFonts w:cstheme="minorHAnsi"/>
          <w:b/>
          <w:sz w:val="28"/>
          <w:szCs w:val="24"/>
        </w:rPr>
        <w:t xml:space="preserve">: </w:t>
      </w:r>
      <w:r w:rsidR="00F76B78">
        <w:rPr>
          <w:rFonts w:cstheme="minorHAnsi"/>
          <w:sz w:val="24"/>
          <w:szCs w:val="24"/>
        </w:rPr>
        <w:br/>
      </w:r>
      <w:r w:rsidR="00093481">
        <w:rPr>
          <w:rFonts w:cstheme="minorHAnsi"/>
          <w:sz w:val="24"/>
          <w:szCs w:val="24"/>
        </w:rPr>
        <w:t xml:space="preserve">Feb. 6, </w:t>
      </w:r>
      <w:proofErr w:type="gramStart"/>
      <w:r w:rsidR="00093481">
        <w:rPr>
          <w:rFonts w:cstheme="minorHAnsi"/>
          <w:sz w:val="24"/>
          <w:szCs w:val="24"/>
        </w:rPr>
        <w:t>2023</w:t>
      </w:r>
      <w:proofErr w:type="gramEnd"/>
      <w:r w:rsidR="00093481">
        <w:rPr>
          <w:rFonts w:cstheme="minorHAnsi"/>
          <w:sz w:val="24"/>
          <w:szCs w:val="24"/>
        </w:rPr>
        <w:tab/>
      </w:r>
      <w:r w:rsidR="00F76B78">
        <w:rPr>
          <w:rFonts w:cstheme="minorHAnsi"/>
          <w:sz w:val="24"/>
          <w:szCs w:val="24"/>
        </w:rPr>
        <w:tab/>
        <w:t>RFP issued.</w:t>
      </w:r>
    </w:p>
    <w:p w14:paraId="4A65D2DC" w14:textId="2AD5396F" w:rsidR="00204B66" w:rsidRDefault="00093481" w:rsidP="00F76B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Feb. 24, </w:t>
      </w:r>
      <w:proofErr w:type="gramStart"/>
      <w:r>
        <w:rPr>
          <w:rFonts w:cstheme="minorHAnsi"/>
          <w:sz w:val="24"/>
          <w:szCs w:val="24"/>
        </w:rPr>
        <w:t>2023</w:t>
      </w:r>
      <w:proofErr w:type="gramEnd"/>
      <w:r w:rsidR="00B4095B">
        <w:rPr>
          <w:rFonts w:cstheme="minorHAnsi"/>
          <w:sz w:val="24"/>
          <w:szCs w:val="24"/>
        </w:rPr>
        <w:tab/>
      </w:r>
      <w:r w:rsidR="00B4095B">
        <w:rPr>
          <w:rFonts w:cstheme="minorHAnsi"/>
          <w:sz w:val="24"/>
          <w:szCs w:val="24"/>
        </w:rPr>
        <w:tab/>
        <w:t>Proposals due by close of business</w:t>
      </w:r>
    </w:p>
    <w:p w14:paraId="3F571072" w14:textId="7EC0E9C9" w:rsidR="00B4095B" w:rsidRDefault="00093481" w:rsidP="00F76B7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Feb. 28, </w:t>
      </w:r>
      <w:proofErr w:type="gramStart"/>
      <w:r>
        <w:rPr>
          <w:rFonts w:cstheme="minorHAnsi"/>
          <w:sz w:val="24"/>
          <w:szCs w:val="24"/>
        </w:rPr>
        <w:t>2023</w:t>
      </w:r>
      <w:proofErr w:type="gramEnd"/>
      <w:r w:rsidR="00B4095B">
        <w:rPr>
          <w:rFonts w:cstheme="minorHAnsi"/>
          <w:sz w:val="24"/>
          <w:szCs w:val="24"/>
        </w:rPr>
        <w:tab/>
      </w:r>
      <w:r w:rsidR="00B4095B">
        <w:rPr>
          <w:rFonts w:cstheme="minorHAnsi"/>
          <w:sz w:val="24"/>
          <w:szCs w:val="24"/>
        </w:rPr>
        <w:tab/>
        <w:t>Interviewees selected and notified via phone; other firms notified of decision by letter.</w:t>
      </w:r>
    </w:p>
    <w:p w14:paraId="41305BE2" w14:textId="77777777" w:rsidR="00481B17" w:rsidRDefault="00481B17" w:rsidP="00481B1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Track Record and References:</w:t>
      </w:r>
    </w:p>
    <w:p w14:paraId="6253ABC3" w14:textId="7D92A786" w:rsidR="00481B17" w:rsidRPr="00093481" w:rsidRDefault="00481B17" w:rsidP="00093481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Please provide a client list</w:t>
      </w:r>
    </w:p>
    <w:p w14:paraId="5FF1F180" w14:textId="22DD6E55" w:rsidR="00481B17" w:rsidRPr="00093481" w:rsidRDefault="00093481" w:rsidP="00093481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Delivery of product</w:t>
      </w:r>
      <w:r w:rsidR="00075F83">
        <w:rPr>
          <w:rFonts w:cstheme="minorHAnsi"/>
          <w:sz w:val="24"/>
          <w:szCs w:val="24"/>
        </w:rPr>
        <w:t xml:space="preserve"> by date </w:t>
      </w:r>
      <w:proofErr w:type="gramStart"/>
      <w:r w:rsidR="00075F83">
        <w:rPr>
          <w:rFonts w:cstheme="minorHAnsi"/>
          <w:sz w:val="24"/>
          <w:szCs w:val="24"/>
        </w:rPr>
        <w:t>requested</w:t>
      </w:r>
      <w:proofErr w:type="gramEnd"/>
    </w:p>
    <w:p w14:paraId="5FCAA526" w14:textId="12F0E90E" w:rsidR="00905BF2" w:rsidRPr="00D805AD" w:rsidRDefault="00905BF2" w:rsidP="00905BF2">
      <w:pPr>
        <w:rPr>
          <w:rFonts w:ascii="Arial" w:hAnsi="Arial" w:cs="Arial"/>
          <w:b/>
        </w:rPr>
      </w:pPr>
      <w:r w:rsidRPr="00D805AD">
        <w:rPr>
          <w:rFonts w:ascii="Arial" w:hAnsi="Arial" w:cs="Arial"/>
          <w:b/>
        </w:rPr>
        <w:t xml:space="preserve">HRDC </w:t>
      </w:r>
      <w:r w:rsidR="00093481">
        <w:rPr>
          <w:rFonts w:ascii="Arial" w:hAnsi="Arial" w:cs="Arial"/>
          <w:b/>
        </w:rPr>
        <w:t>RFP</w:t>
      </w:r>
      <w:r>
        <w:rPr>
          <w:rFonts w:ascii="Arial" w:hAnsi="Arial" w:cs="Arial"/>
          <w:b/>
        </w:rPr>
        <w:t xml:space="preserve"> Firm Scoring Sheet</w:t>
      </w:r>
    </w:p>
    <w:tbl>
      <w:tblPr>
        <w:tblW w:w="4712" w:type="pct"/>
        <w:jc w:val="center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96"/>
        <w:gridCol w:w="747"/>
        <w:gridCol w:w="668"/>
        <w:gridCol w:w="661"/>
        <w:gridCol w:w="735"/>
        <w:gridCol w:w="987"/>
        <w:gridCol w:w="1169"/>
      </w:tblGrid>
      <w:tr w:rsidR="00A9268D" w:rsidRPr="00D805AD" w14:paraId="15DE5057" w14:textId="77777777" w:rsidTr="00A9268D">
        <w:trPr>
          <w:trHeight w:val="657"/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14:paraId="7C2E80FC" w14:textId="77777777" w:rsidR="00A9268D" w:rsidRPr="00D805AD" w:rsidRDefault="00A9268D" w:rsidP="00D1245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05AD">
              <w:rPr>
                <w:rFonts w:ascii="Arial" w:hAnsi="Arial" w:cs="Arial"/>
                <w:b/>
                <w:bCs/>
              </w:rPr>
              <w:t>Factors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bottom"/>
          </w:tcPr>
          <w:p w14:paraId="1F17501D" w14:textId="77777777" w:rsidR="00A9268D" w:rsidRPr="00D805AD" w:rsidRDefault="00A9268D" w:rsidP="00D1245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05AD">
              <w:rPr>
                <w:rFonts w:ascii="Arial" w:hAnsi="Arial" w:cs="Arial"/>
                <w:b/>
                <w:bCs/>
              </w:rPr>
              <w:t>Point Range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5C693915" w14:textId="77777777" w:rsidR="00A9268D" w:rsidRPr="00D805AD" w:rsidRDefault="00A9268D" w:rsidP="00D124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CEO</w:t>
            </w: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BFBE95" w14:textId="77777777" w:rsidR="00A9268D" w:rsidRPr="00D805AD" w:rsidRDefault="00A9268D" w:rsidP="00D1245A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Brd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Rep</w:t>
            </w: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15FF3FCF" w14:textId="77777777" w:rsidR="00A9268D" w:rsidRPr="00D805AD" w:rsidRDefault="00A9268D" w:rsidP="00D124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Assoc</w:t>
            </w:r>
            <w:r>
              <w:rPr>
                <w:rFonts w:ascii="Arial" w:hAnsi="Arial" w:cs="Arial"/>
                <w:b/>
                <w:bCs/>
              </w:rPr>
              <w:br/>
              <w:t>Dir</w:t>
            </w: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7C3FAE54" w14:textId="43C74560" w:rsidR="00A9268D" w:rsidRPr="00D805AD" w:rsidRDefault="00A9268D" w:rsidP="00D124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Program Director</w:t>
            </w: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</w:tcPr>
          <w:p w14:paraId="320FCD52" w14:textId="2F933CB2" w:rsidR="00A9268D" w:rsidRPr="00D805AD" w:rsidRDefault="00A9268D" w:rsidP="00D1245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Ops. Manager</w:t>
            </w:r>
          </w:p>
        </w:tc>
      </w:tr>
      <w:tr w:rsidR="00A9268D" w:rsidRPr="00D805AD" w14:paraId="5B328A8D" w14:textId="77777777" w:rsidTr="00A9268D">
        <w:trPr>
          <w:trHeight w:val="461"/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CBCE6B6" w14:textId="2EFDA1D7" w:rsidR="00A9268D" w:rsidRPr="00D805AD" w:rsidRDefault="00A9268D" w:rsidP="00D1245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805AD">
              <w:rPr>
                <w:rFonts w:ascii="Arial" w:hAnsi="Arial" w:cs="Arial"/>
                <w:sz w:val="22"/>
                <w:szCs w:val="22"/>
              </w:rPr>
              <w:t xml:space="preserve">1.  </w:t>
            </w:r>
            <w:r>
              <w:rPr>
                <w:rFonts w:ascii="Arial" w:hAnsi="Arial" w:cs="Arial"/>
                <w:b/>
                <w:color w:val="006666"/>
                <w:sz w:val="22"/>
                <w:szCs w:val="22"/>
              </w:rPr>
              <w:t xml:space="preserve">Dealers </w:t>
            </w:r>
            <w:r w:rsidRPr="007D5B2F">
              <w:rPr>
                <w:rFonts w:ascii="Arial" w:hAnsi="Arial" w:cs="Arial"/>
                <w:b/>
                <w:color w:val="006666"/>
                <w:sz w:val="22"/>
                <w:szCs w:val="22"/>
              </w:rPr>
              <w:t xml:space="preserve">Capabilities  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EB8412" w14:textId="77777777" w:rsidR="00A9268D" w:rsidRPr="00D805AD" w:rsidRDefault="00A9268D" w:rsidP="00D1245A">
            <w:pPr>
              <w:rPr>
                <w:rFonts w:ascii="Arial" w:hAnsi="Arial" w:cs="Arial"/>
              </w:rPr>
            </w:pP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3689F7" w14:textId="77777777" w:rsidR="00A9268D" w:rsidRPr="00D805AD" w:rsidRDefault="00A9268D" w:rsidP="00D1245A">
            <w:pPr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57CA5C" w14:textId="77777777" w:rsidR="00A9268D" w:rsidRPr="00D805AD" w:rsidRDefault="00A9268D" w:rsidP="00D1245A">
            <w:pPr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FAE82F" w14:textId="77777777" w:rsidR="00A9268D" w:rsidRPr="00D805AD" w:rsidRDefault="00A9268D" w:rsidP="00D1245A">
            <w:pPr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AA5F31" w14:textId="77777777" w:rsidR="00A9268D" w:rsidRPr="00D805AD" w:rsidRDefault="00A9268D" w:rsidP="00D1245A">
            <w:pPr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12BEFA" w14:textId="77777777" w:rsidR="00A9268D" w:rsidRPr="00D805AD" w:rsidRDefault="00A9268D" w:rsidP="00D1245A">
            <w:pPr>
              <w:rPr>
                <w:rFonts w:ascii="Arial" w:hAnsi="Arial" w:cs="Arial"/>
              </w:rPr>
            </w:pPr>
          </w:p>
        </w:tc>
      </w:tr>
      <w:tr w:rsidR="00A9268D" w:rsidRPr="00D805AD" w14:paraId="115DD13F" w14:textId="77777777" w:rsidTr="00A9268D">
        <w:trPr>
          <w:trHeight w:val="419"/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CFA1EC9" w14:textId="0F3262BC" w:rsidR="00A9268D" w:rsidRPr="00D805AD" w:rsidRDefault="00A9268D" w:rsidP="00D1245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D805AD">
              <w:rPr>
                <w:rFonts w:ascii="Arial" w:hAnsi="Arial" w:cs="Arial"/>
                <w:sz w:val="22"/>
                <w:szCs w:val="22"/>
              </w:rPr>
              <w:t xml:space="preserve">a.  </w:t>
            </w:r>
            <w:r>
              <w:rPr>
                <w:rFonts w:ascii="Arial" w:hAnsi="Arial" w:cs="Arial"/>
                <w:sz w:val="22"/>
                <w:szCs w:val="22"/>
              </w:rPr>
              <w:t>Prior customer feedback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7BDD82" w14:textId="14C5A4EF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0-</w:t>
            </w:r>
            <w:r w:rsidR="00DB2879">
              <w:rPr>
                <w:rFonts w:ascii="Arial" w:hAnsi="Arial" w:cs="Arial"/>
              </w:rPr>
              <w:t>10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DB1EC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CF8193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AAD23F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09FD1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0FE21A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</w:tr>
      <w:tr w:rsidR="00A9268D" w:rsidRPr="00D805AD" w14:paraId="18F3224A" w14:textId="77777777" w:rsidTr="00A9268D">
        <w:trPr>
          <w:trHeight w:val="419"/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9BD327F" w14:textId="6B16EE3B" w:rsidR="00A9268D" w:rsidRPr="00D805AD" w:rsidRDefault="00A9268D" w:rsidP="00D1245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b.</w:t>
            </w:r>
            <w:r w:rsidRPr="00D805AD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D805A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Ability to service the forklift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A470921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  <w:r w:rsidRPr="00D805AD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360C69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86CE51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A5DFC8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86CADB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0210D2D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</w:tr>
      <w:tr w:rsidR="00075F83" w:rsidRPr="00D805AD" w14:paraId="6F3AAB85" w14:textId="77777777" w:rsidTr="00A9268D">
        <w:trPr>
          <w:trHeight w:val="419"/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3B05A19" w14:textId="136B891F" w:rsidR="00075F83" w:rsidRDefault="00075F83" w:rsidP="00D1245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 Warranty 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F7D5DE0" w14:textId="2B15C77C" w:rsidR="00075F83" w:rsidRDefault="00075F83" w:rsidP="00D1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0-10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8750B1" w14:textId="77777777" w:rsidR="00075F83" w:rsidRPr="00D805AD" w:rsidRDefault="00075F83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2F4295" w14:textId="77777777" w:rsidR="00075F83" w:rsidRPr="00D805AD" w:rsidRDefault="00075F83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1A3561" w14:textId="77777777" w:rsidR="00075F83" w:rsidRPr="00D805AD" w:rsidRDefault="00075F83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7EAFC5" w14:textId="77777777" w:rsidR="00075F83" w:rsidRPr="00D805AD" w:rsidRDefault="00075F83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29D0C3" w14:textId="77777777" w:rsidR="00075F83" w:rsidRPr="00D805AD" w:rsidRDefault="00075F83" w:rsidP="00D1245A">
            <w:pPr>
              <w:jc w:val="center"/>
              <w:rPr>
                <w:rFonts w:ascii="Arial" w:hAnsi="Arial" w:cs="Arial"/>
              </w:rPr>
            </w:pPr>
          </w:p>
        </w:tc>
      </w:tr>
      <w:tr w:rsidR="00A9268D" w:rsidRPr="00D805AD" w14:paraId="5E23840C" w14:textId="77777777" w:rsidTr="00A9268D">
        <w:trPr>
          <w:trHeight w:val="419"/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2773DFC" w14:textId="1012A9FA" w:rsidR="00A9268D" w:rsidRPr="00D805AD" w:rsidRDefault="00075F83" w:rsidP="00D1245A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A9268D">
              <w:rPr>
                <w:rFonts w:ascii="Arial" w:hAnsi="Arial" w:cs="Arial"/>
                <w:sz w:val="22"/>
                <w:szCs w:val="22"/>
              </w:rPr>
              <w:t>.  Ability to deliver product by September 2023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7391C2DD" w14:textId="55DB6299" w:rsidR="00A9268D" w:rsidRPr="00D805AD" w:rsidRDefault="00A9268D" w:rsidP="00D12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0-</w:t>
            </w:r>
            <w:r w:rsidR="00DB287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ED7BB7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AFF6D1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9C99E1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C7FA13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D15A42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</w:tr>
      <w:tr w:rsidR="00A9268D" w:rsidRPr="00D805AD" w14:paraId="7D167D4E" w14:textId="77777777" w:rsidTr="00A9268D">
        <w:trPr>
          <w:trHeight w:val="489"/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6B91730" w14:textId="77777777" w:rsidR="00A9268D" w:rsidRPr="00D805AD" w:rsidRDefault="00A9268D" w:rsidP="00D1245A">
            <w:pPr>
              <w:spacing w:before="120" w:after="120"/>
              <w:rPr>
                <w:rFonts w:ascii="Arial" w:hAnsi="Arial" w:cs="Arial"/>
              </w:rPr>
            </w:pPr>
            <w:r w:rsidRPr="00D805AD">
              <w:rPr>
                <w:rFonts w:ascii="Arial" w:hAnsi="Arial" w:cs="Arial"/>
              </w:rPr>
              <w:t xml:space="preserve">5.  </w:t>
            </w:r>
            <w:r w:rsidRPr="0039148E">
              <w:rPr>
                <w:rFonts w:ascii="Arial" w:hAnsi="Arial" w:cs="Arial"/>
                <w:b/>
                <w:color w:val="006666"/>
              </w:rPr>
              <w:t>Price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45BB6C0C" w14:textId="61A6C4DE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  <w:r w:rsidRPr="00D805AD">
              <w:rPr>
                <w:rFonts w:ascii="Arial" w:hAnsi="Arial" w:cs="Arial"/>
              </w:rPr>
              <w:t>0-</w:t>
            </w:r>
            <w:r w:rsidR="00DB2879">
              <w:rPr>
                <w:rFonts w:ascii="Arial" w:hAnsi="Arial" w:cs="Arial"/>
              </w:rPr>
              <w:t>50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CD982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A11F33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36D29A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3A2714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F9E888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</w:tr>
      <w:tr w:rsidR="00A9268D" w:rsidRPr="00D805AD" w14:paraId="5F5B6A38" w14:textId="77777777" w:rsidTr="00A9268D">
        <w:trPr>
          <w:trHeight w:val="349"/>
          <w:tblCellSpacing w:w="7" w:type="dxa"/>
          <w:jc w:val="center"/>
        </w:trPr>
        <w:tc>
          <w:tcPr>
            <w:tcW w:w="25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D21D95" w14:textId="77777777" w:rsidR="00A9268D" w:rsidRPr="00D805AD" w:rsidRDefault="00A9268D" w:rsidP="00D1245A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5AD">
              <w:rPr>
                <w:rFonts w:ascii="Arial" w:hAnsi="Arial" w:cs="Arial"/>
                <w:b/>
                <w:bCs/>
                <w:sz w:val="22"/>
                <w:szCs w:val="22"/>
              </w:rPr>
              <w:t>MAXIMUM POINTS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1C5CDE6" w14:textId="77777777" w:rsidR="00A9268D" w:rsidRPr="00D805AD" w:rsidRDefault="00A9268D" w:rsidP="00D1245A">
            <w:pPr>
              <w:pStyle w:val="NormalWeb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05AD"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3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78B232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58E024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9B6C7E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9DE614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9071F9" w14:textId="77777777" w:rsidR="00A9268D" w:rsidRPr="00D805AD" w:rsidRDefault="00A9268D" w:rsidP="00D1245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106DB9B" w14:textId="77777777" w:rsidR="00905BF2" w:rsidRPr="00D805AD" w:rsidRDefault="00905BF2" w:rsidP="00905BF2">
      <w:pPr>
        <w:rPr>
          <w:rFonts w:ascii="Arial" w:hAnsi="Arial" w:cs="Arial"/>
        </w:rPr>
      </w:pPr>
    </w:p>
    <w:p w14:paraId="0F23AD6B" w14:textId="398F98A5" w:rsidR="00FA2AE5" w:rsidRPr="00075F83" w:rsidRDefault="00075F83" w:rsidP="00075F83">
      <w:pPr>
        <w:rPr>
          <w:rFonts w:cstheme="minorHAnsi"/>
          <w:b/>
          <w:sz w:val="24"/>
          <w:szCs w:val="24"/>
        </w:rPr>
      </w:pPr>
      <w:r w:rsidRPr="00075F83">
        <w:rPr>
          <w:rFonts w:cstheme="minorHAnsi"/>
          <w:color w:val="222222"/>
          <w:shd w:val="clear" w:color="auto" w:fill="FFFFFF"/>
        </w:rPr>
        <w:t>HRDC reserves the right to reject any bids</w:t>
      </w:r>
      <w:r>
        <w:rPr>
          <w:rFonts w:cstheme="minorHAnsi"/>
          <w:color w:val="222222"/>
          <w:shd w:val="clear" w:color="auto" w:fill="FFFFFF"/>
        </w:rPr>
        <w:t>.</w:t>
      </w:r>
    </w:p>
    <w:p w14:paraId="034B5EBC" w14:textId="0C32F329" w:rsidR="00FA2AE5" w:rsidRPr="00B4487E" w:rsidRDefault="008019B0" w:rsidP="00D45B13">
      <w:pPr>
        <w:rPr>
          <w:rFonts w:cstheme="minorHAnsi"/>
          <w:i/>
          <w:color w:val="006666"/>
          <w:sz w:val="24"/>
          <w:szCs w:val="24"/>
        </w:rPr>
      </w:pPr>
      <w:r w:rsidRPr="008019B0">
        <w:rPr>
          <w:rFonts w:asciiTheme="majorHAnsi" w:hAnsiTheme="majorHAnsi" w:cstheme="majorHAnsi"/>
          <w:i/>
          <w:iCs/>
          <w:color w:val="003E52"/>
          <w:sz w:val="20"/>
          <w:szCs w:val="20"/>
          <w:shd w:val="clear" w:color="auto" w:fill="EFEDEE"/>
        </w:rPr>
        <w:t>HRDC instills hope, develops resources, designs solutions and changes lives. We envision a place where poverty has no impact because opportunities and quality of life are equally afforded to everyon</w:t>
      </w:r>
      <w:r>
        <w:rPr>
          <w:rFonts w:asciiTheme="majorHAnsi" w:hAnsiTheme="majorHAnsi" w:cstheme="majorHAnsi"/>
          <w:i/>
          <w:iCs/>
          <w:color w:val="003E52"/>
          <w:sz w:val="20"/>
          <w:szCs w:val="20"/>
          <w:shd w:val="clear" w:color="auto" w:fill="EFEDEE"/>
        </w:rPr>
        <w:t>e.</w:t>
      </w:r>
    </w:p>
    <w:sectPr w:rsidR="00FA2AE5" w:rsidRPr="00B4487E" w:rsidSect="001A56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801"/>
    <w:multiLevelType w:val="hybridMultilevel"/>
    <w:tmpl w:val="8AE88E0A"/>
    <w:lvl w:ilvl="0" w:tplc="2FCAA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34E37"/>
    <w:multiLevelType w:val="hybridMultilevel"/>
    <w:tmpl w:val="AC443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0E1E"/>
    <w:multiLevelType w:val="hybridMultilevel"/>
    <w:tmpl w:val="69E60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544FC"/>
    <w:multiLevelType w:val="hybridMultilevel"/>
    <w:tmpl w:val="5A00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FDE"/>
    <w:multiLevelType w:val="hybridMultilevel"/>
    <w:tmpl w:val="70E2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623EE"/>
    <w:multiLevelType w:val="hybridMultilevel"/>
    <w:tmpl w:val="DD80F3A0"/>
    <w:lvl w:ilvl="0" w:tplc="2C4255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B506A"/>
    <w:multiLevelType w:val="hybridMultilevel"/>
    <w:tmpl w:val="38D0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89368">
    <w:abstractNumId w:val="5"/>
  </w:num>
  <w:num w:numId="2" w16cid:durableId="1208185301">
    <w:abstractNumId w:val="0"/>
  </w:num>
  <w:num w:numId="3" w16cid:durableId="1816944842">
    <w:abstractNumId w:val="3"/>
  </w:num>
  <w:num w:numId="4" w16cid:durableId="1191996193">
    <w:abstractNumId w:val="6"/>
  </w:num>
  <w:num w:numId="5" w16cid:durableId="860053318">
    <w:abstractNumId w:val="1"/>
  </w:num>
  <w:num w:numId="6" w16cid:durableId="913854307">
    <w:abstractNumId w:val="4"/>
  </w:num>
  <w:num w:numId="7" w16cid:durableId="884683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652"/>
    <w:rsid w:val="00001EE2"/>
    <w:rsid w:val="00075F83"/>
    <w:rsid w:val="00093481"/>
    <w:rsid w:val="00105FC4"/>
    <w:rsid w:val="0013404E"/>
    <w:rsid w:val="0014407B"/>
    <w:rsid w:val="001870C6"/>
    <w:rsid w:val="001A5652"/>
    <w:rsid w:val="00204B66"/>
    <w:rsid w:val="002716CD"/>
    <w:rsid w:val="0029145E"/>
    <w:rsid w:val="0032676D"/>
    <w:rsid w:val="00390020"/>
    <w:rsid w:val="00421354"/>
    <w:rsid w:val="00434DA8"/>
    <w:rsid w:val="00481B17"/>
    <w:rsid w:val="006057F3"/>
    <w:rsid w:val="0061566B"/>
    <w:rsid w:val="00653E09"/>
    <w:rsid w:val="00774BEC"/>
    <w:rsid w:val="007B1452"/>
    <w:rsid w:val="008019B0"/>
    <w:rsid w:val="00881892"/>
    <w:rsid w:val="008A4ABB"/>
    <w:rsid w:val="008B5B72"/>
    <w:rsid w:val="008C5E38"/>
    <w:rsid w:val="008F42BE"/>
    <w:rsid w:val="00905BF2"/>
    <w:rsid w:val="00956620"/>
    <w:rsid w:val="00983D69"/>
    <w:rsid w:val="009E2F32"/>
    <w:rsid w:val="00A46120"/>
    <w:rsid w:val="00A9268D"/>
    <w:rsid w:val="00AF5E6D"/>
    <w:rsid w:val="00B00AF7"/>
    <w:rsid w:val="00B4095B"/>
    <w:rsid w:val="00B431A2"/>
    <w:rsid w:val="00B4487E"/>
    <w:rsid w:val="00B61F72"/>
    <w:rsid w:val="00BF5546"/>
    <w:rsid w:val="00C34347"/>
    <w:rsid w:val="00C355FE"/>
    <w:rsid w:val="00C65861"/>
    <w:rsid w:val="00CE0729"/>
    <w:rsid w:val="00D1326C"/>
    <w:rsid w:val="00D45B13"/>
    <w:rsid w:val="00DA4B59"/>
    <w:rsid w:val="00DB2879"/>
    <w:rsid w:val="00DD0F4A"/>
    <w:rsid w:val="00E37D76"/>
    <w:rsid w:val="00ED3FDA"/>
    <w:rsid w:val="00F76B78"/>
    <w:rsid w:val="00F95EE9"/>
    <w:rsid w:val="00FA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044A"/>
  <w15:chartTrackingRefBased/>
  <w15:docId w15:val="{D524DCC2-0F86-4115-8979-0A28CC4A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5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56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5652"/>
    <w:rPr>
      <w:b/>
      <w:bCs/>
    </w:rPr>
  </w:style>
  <w:style w:type="character" w:customStyle="1" w:styleId="m-1386790387057184402device-configuration-label">
    <w:name w:val="m_-1386790387057184402device-configuration-label"/>
    <w:basedOn w:val="DefaultParagraphFont"/>
    <w:rsid w:val="001A5652"/>
  </w:style>
  <w:style w:type="character" w:customStyle="1" w:styleId="m-1386790387057184402device-configuration-value">
    <w:name w:val="m_-1386790387057184402device-configuration-value"/>
    <w:basedOn w:val="DefaultParagraphFont"/>
    <w:rsid w:val="001A5652"/>
  </w:style>
  <w:style w:type="character" w:customStyle="1" w:styleId="m-1386790387057184402price">
    <w:name w:val="m_-1386790387057184402price"/>
    <w:basedOn w:val="DefaultParagraphFont"/>
    <w:rsid w:val="001A5652"/>
  </w:style>
  <w:style w:type="paragraph" w:styleId="BalloonText">
    <w:name w:val="Balloon Text"/>
    <w:basedOn w:val="Normal"/>
    <w:link w:val="BalloonTextChar"/>
    <w:uiPriority w:val="99"/>
    <w:semiHidden/>
    <w:unhideWhenUsed/>
    <w:rsid w:val="001A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6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6B7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93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orn@thehrd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Hamburg</dc:creator>
  <cp:keywords/>
  <dc:description/>
  <cp:lastModifiedBy>Jill Holder</cp:lastModifiedBy>
  <cp:revision>14</cp:revision>
  <cp:lastPrinted>2018-06-04T17:02:00Z</cp:lastPrinted>
  <dcterms:created xsi:type="dcterms:W3CDTF">2023-02-03T22:44:00Z</dcterms:created>
  <dcterms:modified xsi:type="dcterms:W3CDTF">2023-02-07T23:41:00Z</dcterms:modified>
</cp:coreProperties>
</file>